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Par défaut"/>
        <w:bidi w:val="0"/>
        <w:ind w:left="0" w:right="0" w:firstLine="0"/>
        <w:jc w:val="left"/>
        <w:rPr>
          <w:rFonts w:ascii="Arial" w:hAnsi="Arial"/>
          <w:color w:val="222222"/>
          <w:sz w:val="26"/>
          <w:szCs w:val="26"/>
          <w:rtl w:val="0"/>
        </w:rPr>
      </w:pPr>
    </w:p>
    <w:p>
      <w:pPr>
        <w:pStyle w:val="Par défaut"/>
        <w:bidi w:val="0"/>
        <w:ind w:left="0" w:right="0" w:firstLine="0"/>
        <w:jc w:val="left"/>
        <w:rPr>
          <w:rFonts w:ascii="Arial" w:cs="Arial" w:hAnsi="Arial" w:eastAsia="Arial"/>
          <w:b w:val="0"/>
          <w:bCs w:val="0"/>
          <w:color w:val="222222"/>
          <w:sz w:val="26"/>
          <w:szCs w:val="26"/>
          <w:rtl w:val="0"/>
        </w:rPr>
      </w:pPr>
      <w:r>
        <w:rPr>
          <w:rFonts w:ascii="Arial" w:hAnsi="Arial"/>
          <w:b w:val="1"/>
          <w:bCs w:val="1"/>
          <w:color w:val="222222"/>
          <w:sz w:val="26"/>
          <w:szCs w:val="26"/>
          <w:rtl w:val="0"/>
          <w:lang w:val="fr-FR"/>
        </w:rPr>
        <w:t>Avril 2019 Protocoles Hopital Cochin - Tarnier - Dr Nora Kramkimel</w:t>
      </w:r>
    </w:p>
    <w:p>
      <w:pPr>
        <w:pStyle w:val="Par défaut"/>
        <w:bidi w:val="0"/>
        <w:ind w:left="0" w:right="0" w:firstLine="0"/>
        <w:jc w:val="left"/>
        <w:rPr>
          <w:rFonts w:ascii="Arial" w:cs="Arial" w:hAnsi="Arial" w:eastAsia="Arial"/>
          <w:color w:val="222222"/>
          <w:sz w:val="26"/>
          <w:szCs w:val="26"/>
          <w:rtl w:val="0"/>
        </w:rPr>
      </w:pPr>
    </w:p>
    <w:p>
      <w:pPr>
        <w:pStyle w:val="Par défaut"/>
        <w:bidi w:val="0"/>
        <w:ind w:left="0" w:right="0" w:firstLine="0"/>
        <w:jc w:val="left"/>
        <w:rPr>
          <w:rFonts w:ascii="Arial" w:cs="Arial" w:hAnsi="Arial" w:eastAsia="Arial"/>
          <w:b w:val="0"/>
          <w:bCs w:val="0"/>
          <w:color w:val="1c269d"/>
          <w:sz w:val="26"/>
          <w:szCs w:val="26"/>
          <w:rtl w:val="0"/>
        </w:rPr>
      </w:pPr>
      <w:r>
        <w:rPr>
          <w:rFonts w:ascii="Arial" w:hAnsi="Arial"/>
          <w:b w:val="1"/>
          <w:bCs w:val="1"/>
          <w:color w:val="1c269d"/>
          <w:sz w:val="26"/>
          <w:szCs w:val="26"/>
          <w:rtl w:val="0"/>
          <w:lang w:val="es-ES_tradnl"/>
        </w:rPr>
        <w:t>Protocoles 2019</w:t>
      </w:r>
    </w:p>
    <w:p>
      <w:pPr>
        <w:pStyle w:val="Par défaut"/>
        <w:bidi w:val="0"/>
        <w:ind w:left="0" w:right="0" w:firstLine="0"/>
        <w:jc w:val="left"/>
        <w:rPr>
          <w:rFonts w:ascii="Arial" w:cs="Arial" w:hAnsi="Arial" w:eastAsia="Arial"/>
          <w:b w:val="0"/>
          <w:bCs w:val="0"/>
          <w:color w:val="222222"/>
          <w:sz w:val="26"/>
          <w:szCs w:val="26"/>
          <w:rtl w:val="0"/>
        </w:rPr>
      </w:pPr>
      <w:r>
        <w:rPr>
          <w:rFonts w:ascii="Arial" w:hAnsi="Arial"/>
          <w:b w:val="1"/>
          <w:bCs w:val="1"/>
          <w:color w:val="222222"/>
          <w:sz w:val="26"/>
          <w:szCs w:val="26"/>
          <w:rtl w:val="0"/>
          <w:lang w:val="fr-FR"/>
        </w:rPr>
        <w:t>Inclusion ouverte</w:t>
      </w:r>
    </w:p>
    <w:p>
      <w:pPr>
        <w:pStyle w:val="Par défaut"/>
        <w:bidi w:val="0"/>
        <w:ind w:left="0" w:right="0" w:firstLine="0"/>
        <w:jc w:val="left"/>
        <w:rPr>
          <w:rFonts w:ascii="Arial" w:cs="Arial" w:hAnsi="Arial" w:eastAsia="Arial"/>
          <w:b w:val="0"/>
          <w:bCs w:val="0"/>
          <w:color w:val="222222"/>
          <w:sz w:val="26"/>
          <w:szCs w:val="26"/>
          <w:rtl w:val="0"/>
        </w:rPr>
      </w:pPr>
      <w:r>
        <w:rPr>
          <w:rFonts w:ascii="Arial" w:cs="Arial" w:hAnsi="Arial" w:eastAsia="Arial"/>
          <w:b w:val="1"/>
          <w:bCs w:val="1"/>
          <w:color w:val="222222"/>
          <w:sz w:val="26"/>
          <w:szCs w:val="26"/>
          <w:rtl w:val="0"/>
        </w:rPr>
        <w:tab/>
        <w:t>M</w:t>
      </w:r>
      <w:r>
        <w:rPr>
          <w:rFonts w:ascii="Arial" w:hAnsi="Arial" w:hint="default"/>
          <w:b w:val="1"/>
          <w:bCs w:val="1"/>
          <w:color w:val="222222"/>
          <w:sz w:val="26"/>
          <w:szCs w:val="26"/>
          <w:rtl w:val="0"/>
          <w:lang w:val="fr-FR"/>
        </w:rPr>
        <w:t>é</w:t>
      </w:r>
      <w:r>
        <w:rPr>
          <w:rFonts w:ascii="Arial" w:hAnsi="Arial"/>
          <w:b w:val="1"/>
          <w:bCs w:val="1"/>
          <w:color w:val="222222"/>
          <w:sz w:val="26"/>
          <w:szCs w:val="26"/>
          <w:rtl w:val="0"/>
        </w:rPr>
        <w:t>lanome</w:t>
      </w:r>
    </w:p>
    <w:p>
      <w:pPr>
        <w:pStyle w:val="Par défaut"/>
        <w:tabs>
          <w:tab w:val="left" w:pos="220"/>
          <w:tab w:val="left" w:pos="720"/>
        </w:tabs>
        <w:bidi w:val="0"/>
        <w:ind w:left="720" w:right="0" w:hanging="720"/>
        <w:jc w:val="left"/>
        <w:rPr>
          <w:rFonts w:ascii="Arial" w:cs="Arial" w:hAnsi="Arial" w:eastAsia="Arial"/>
          <w:color w:val="222222"/>
          <w:sz w:val="26"/>
          <w:szCs w:val="26"/>
          <w:rtl w:val="0"/>
        </w:rPr>
      </w:pPr>
      <w:r>
        <w:rPr>
          <w:rFonts w:ascii="Arial" w:cs="Arial" w:hAnsi="Arial" w:eastAsia="Arial"/>
          <w:color w:val="222222"/>
          <w:sz w:val="26"/>
          <w:szCs w:val="26"/>
          <w:rtl w:val="0"/>
        </w:rPr>
        <w:tab/>
        <w:t>•</w:t>
        <w:tab/>
      </w:r>
      <w:r>
        <w:rPr>
          <w:rFonts w:ascii="Arial" w:hAnsi="Arial"/>
          <w:color w:val="222222"/>
          <w:sz w:val="26"/>
          <w:szCs w:val="26"/>
          <w:rtl w:val="0"/>
          <w:lang w:val="en-US"/>
        </w:rPr>
        <w:t>EORTC study 1612</w:t>
      </w:r>
      <w:r>
        <w:rPr>
          <w:rFonts w:ascii="Arial Unicode MS" w:cs="Arial Unicode MS" w:hAnsi="Arial Unicode MS" w:eastAsia="Arial Unicode MS" w:hint="default"/>
          <w:b w:val="0"/>
          <w:bCs w:val="0"/>
          <w:i w:val="0"/>
          <w:iCs w:val="0"/>
          <w:color w:val="222222"/>
          <w:sz w:val="26"/>
          <w:szCs w:val="26"/>
          <w:rtl w:val="0"/>
        </w:rPr>
        <w:t>‐</w:t>
      </w:r>
      <w:r>
        <w:rPr>
          <w:rFonts w:ascii="Arial" w:hAnsi="Arial"/>
          <w:color w:val="222222"/>
          <w:sz w:val="26"/>
          <w:szCs w:val="26"/>
          <w:rtl w:val="0"/>
          <w:lang w:val="da-DK"/>
        </w:rPr>
        <w:t xml:space="preserve">MG: </w:t>
      </w:r>
      <w:r>
        <w:rPr>
          <w:rFonts w:ascii="Arial" w:hAnsi="Arial" w:hint="default"/>
          <w:color w:val="222222"/>
          <w:sz w:val="26"/>
          <w:szCs w:val="26"/>
          <w:rtl w:val="0"/>
          <w:lang w:val="de-DE"/>
        </w:rPr>
        <w:t>“</w:t>
      </w:r>
      <w:r>
        <w:rPr>
          <w:rFonts w:ascii="Arial" w:hAnsi="Arial"/>
          <w:color w:val="222222"/>
          <w:sz w:val="26"/>
          <w:szCs w:val="26"/>
          <w:rtl w:val="0"/>
          <w:lang w:val="en-US"/>
        </w:rPr>
        <w:t>Combination of targeted therapy (Encorafenib and Binimetinib) followed by combination of immunoterapy (Ipilimumab and Nivolumab) vs immediate combination of immunotherapy in patients with unresectable or metastatic melanoma with BRAF V600 mutation: an EORTC phase II randomized study (EBIN)</w:t>
      </w:r>
      <w:r>
        <w:rPr>
          <w:rFonts w:ascii="Arial" w:hAnsi="Arial" w:hint="default"/>
          <w:color w:val="222222"/>
          <w:sz w:val="26"/>
          <w:szCs w:val="26"/>
          <w:rtl w:val="0"/>
        </w:rPr>
        <w:t>”</w:t>
      </w:r>
    </w:p>
    <w:p>
      <w:pPr>
        <w:pStyle w:val="Par défaut"/>
        <w:tabs>
          <w:tab w:val="left" w:pos="220"/>
          <w:tab w:val="left" w:pos="720"/>
        </w:tabs>
        <w:bidi w:val="0"/>
        <w:ind w:left="720" w:right="0" w:hanging="720"/>
        <w:jc w:val="left"/>
        <w:rPr>
          <w:rFonts w:ascii="Arial" w:cs="Arial" w:hAnsi="Arial" w:eastAsia="Arial"/>
          <w:color w:val="010104"/>
          <w:sz w:val="26"/>
          <w:szCs w:val="26"/>
          <w:rtl w:val="0"/>
        </w:rPr>
      </w:pPr>
      <w:r>
        <w:rPr>
          <w:rFonts w:ascii="Arial" w:cs="Arial" w:hAnsi="Arial" w:eastAsia="Arial"/>
          <w:color w:val="010104"/>
          <w:sz w:val="26"/>
          <w:szCs w:val="26"/>
          <w:rtl w:val="0"/>
        </w:rPr>
        <w:tab/>
        <w:t>•</w:t>
        <w:tab/>
      </w:r>
      <w:r>
        <w:rPr>
          <w:rFonts w:ascii="Arial" w:hAnsi="Arial"/>
          <w:color w:val="010104"/>
          <w:sz w:val="26"/>
          <w:szCs w:val="26"/>
          <w:rtl w:val="0"/>
          <w:lang w:val="en-US"/>
        </w:rPr>
        <w:t>MK-3475-587:A Multicenter, Open label, Phase III Extension Trial to Study the Long-term Safety and Efficacy in Participants with Advanced Tumors Who Are Currently on Treatment or in Follow-up in a Pembrolizumab Trial.</w:t>
      </w:r>
    </w:p>
    <w:p>
      <w:pPr>
        <w:pStyle w:val="Par défaut"/>
        <w:bidi w:val="0"/>
        <w:ind w:left="0" w:right="0" w:firstLine="0"/>
        <w:jc w:val="left"/>
        <w:rPr>
          <w:rFonts w:ascii="Arial" w:cs="Arial" w:hAnsi="Arial" w:eastAsia="Arial"/>
          <w:b w:val="0"/>
          <w:bCs w:val="0"/>
          <w:color w:val="222222"/>
          <w:sz w:val="26"/>
          <w:szCs w:val="26"/>
          <w:rtl w:val="0"/>
        </w:rPr>
      </w:pPr>
      <w:r>
        <w:rPr>
          <w:rFonts w:ascii="Arial" w:cs="Arial" w:hAnsi="Arial" w:eastAsia="Arial"/>
          <w:b w:val="1"/>
          <w:bCs w:val="1"/>
          <w:color w:val="222222"/>
          <w:sz w:val="26"/>
          <w:szCs w:val="26"/>
          <w:rtl w:val="0"/>
          <w:lang w:val="pt-PT"/>
        </w:rPr>
        <w:tab/>
        <w:t xml:space="preserve">Carcinomes </w:t>
      </w:r>
      <w:r>
        <w:rPr>
          <w:rFonts w:ascii="Arial" w:hAnsi="Arial" w:hint="default"/>
          <w:b w:val="1"/>
          <w:bCs w:val="1"/>
          <w:color w:val="222222"/>
          <w:sz w:val="26"/>
          <w:szCs w:val="26"/>
          <w:rtl w:val="0"/>
          <w:lang w:val="fr-FR"/>
        </w:rPr>
        <w:t>é</w:t>
      </w:r>
      <w:r>
        <w:rPr>
          <w:rFonts w:ascii="Arial" w:hAnsi="Arial"/>
          <w:b w:val="1"/>
          <w:bCs w:val="1"/>
          <w:color w:val="222222"/>
          <w:sz w:val="26"/>
          <w:szCs w:val="26"/>
          <w:rtl w:val="0"/>
        </w:rPr>
        <w:t>pidermoides:</w:t>
      </w:r>
    </w:p>
    <w:p>
      <w:pPr>
        <w:pStyle w:val="Par défaut"/>
        <w:bidi w:val="0"/>
        <w:ind w:left="0" w:right="0" w:firstLine="0"/>
        <w:jc w:val="left"/>
        <w:rPr>
          <w:rFonts w:ascii="Arial" w:cs="Arial" w:hAnsi="Arial" w:eastAsia="Arial"/>
          <w:color w:val="222222"/>
          <w:sz w:val="26"/>
          <w:szCs w:val="26"/>
          <w:rtl w:val="0"/>
        </w:rPr>
      </w:pPr>
      <w:r>
        <w:rPr>
          <w:rFonts w:ascii="Arial" w:cs="Arial" w:hAnsi="Arial" w:eastAsia="Arial"/>
          <w:color w:val="222222"/>
          <w:sz w:val="26"/>
          <w:szCs w:val="26"/>
          <w:rtl w:val="0"/>
          <w:lang w:val="fr-FR"/>
        </w:rPr>
        <w:tab/>
        <w:t>- essai CARSKIN :Etude de phase II de l</w:t>
      </w:r>
      <w:r>
        <w:rPr>
          <w:rFonts w:ascii="Arial" w:hAnsi="Arial" w:hint="default"/>
          <w:color w:val="222222"/>
          <w:sz w:val="26"/>
          <w:szCs w:val="26"/>
          <w:rtl w:val="0"/>
        </w:rPr>
        <w:t>’</w:t>
      </w:r>
      <w:r>
        <w:rPr>
          <w:rFonts w:ascii="Arial" w:hAnsi="Arial"/>
          <w:color w:val="222222"/>
          <w:sz w:val="26"/>
          <w:szCs w:val="26"/>
          <w:rtl w:val="0"/>
          <w:lang w:val="fr-FR"/>
        </w:rPr>
        <w:t>administration de Pembrolizumab (MK-3475) en monoth</w:t>
      </w:r>
      <w:r>
        <w:rPr>
          <w:rFonts w:ascii="Arial" w:hAnsi="Arial" w:hint="default"/>
          <w:color w:val="222222"/>
          <w:sz w:val="26"/>
          <w:szCs w:val="26"/>
          <w:rtl w:val="0"/>
          <w:lang w:val="fr-FR"/>
        </w:rPr>
        <w:t>é</w:t>
      </w:r>
      <w:r>
        <w:rPr>
          <w:rFonts w:ascii="Arial" w:hAnsi="Arial"/>
          <w:color w:val="222222"/>
          <w:sz w:val="26"/>
          <w:szCs w:val="26"/>
          <w:rtl w:val="0"/>
          <w:lang w:val="fr-FR"/>
        </w:rPr>
        <w:t>rapie et en premi</w:t>
      </w:r>
      <w:r>
        <w:rPr>
          <w:rFonts w:ascii="Arial" w:hAnsi="Arial" w:hint="default"/>
          <w:color w:val="222222"/>
          <w:sz w:val="26"/>
          <w:szCs w:val="26"/>
          <w:rtl w:val="0"/>
          <w:lang w:val="fr-FR"/>
        </w:rPr>
        <w:t>è</w:t>
      </w:r>
      <w:r>
        <w:rPr>
          <w:rFonts w:ascii="Arial" w:hAnsi="Arial"/>
          <w:color w:val="222222"/>
          <w:sz w:val="26"/>
          <w:szCs w:val="26"/>
          <w:rtl w:val="0"/>
          <w:lang w:val="fr-FR"/>
        </w:rPr>
        <w:t>re ligne chez des patients pr</w:t>
      </w:r>
      <w:r>
        <w:rPr>
          <w:rFonts w:ascii="Arial" w:hAnsi="Arial" w:hint="default"/>
          <w:color w:val="222222"/>
          <w:sz w:val="26"/>
          <w:szCs w:val="26"/>
          <w:rtl w:val="0"/>
          <w:lang w:val="fr-FR"/>
        </w:rPr>
        <w:t>é</w:t>
      </w:r>
      <w:r>
        <w:rPr>
          <w:rFonts w:ascii="Arial" w:hAnsi="Arial"/>
          <w:color w:val="222222"/>
          <w:sz w:val="26"/>
          <w:szCs w:val="26"/>
          <w:rtl w:val="0"/>
          <w:lang w:val="fr-FR"/>
        </w:rPr>
        <w:t xml:space="preserve">sentant un carcinome </w:t>
      </w:r>
      <w:r>
        <w:rPr>
          <w:rFonts w:ascii="Arial" w:hAnsi="Arial" w:hint="default"/>
          <w:color w:val="222222"/>
          <w:sz w:val="26"/>
          <w:szCs w:val="26"/>
          <w:rtl w:val="0"/>
          <w:lang w:val="fr-FR"/>
        </w:rPr>
        <w:t>é</w:t>
      </w:r>
      <w:r>
        <w:rPr>
          <w:rFonts w:ascii="Arial" w:hAnsi="Arial"/>
          <w:color w:val="222222"/>
          <w:sz w:val="26"/>
          <w:szCs w:val="26"/>
          <w:rtl w:val="0"/>
        </w:rPr>
        <w:t>pidermo</w:t>
      </w:r>
      <w:r>
        <w:rPr>
          <w:rFonts w:ascii="Arial" w:hAnsi="Arial" w:hint="default"/>
          <w:color w:val="222222"/>
          <w:sz w:val="26"/>
          <w:szCs w:val="26"/>
          <w:rtl w:val="0"/>
          <w:lang w:val="nl-NL"/>
        </w:rPr>
        <w:t>ï</w:t>
      </w:r>
      <w:r>
        <w:rPr>
          <w:rFonts w:ascii="Arial" w:hAnsi="Arial"/>
          <w:color w:val="222222"/>
          <w:sz w:val="26"/>
          <w:szCs w:val="26"/>
          <w:rtl w:val="0"/>
        </w:rPr>
        <w:t>de cutan</w:t>
      </w:r>
      <w:r>
        <w:rPr>
          <w:rFonts w:ascii="Arial" w:hAnsi="Arial" w:hint="default"/>
          <w:color w:val="222222"/>
          <w:sz w:val="26"/>
          <w:szCs w:val="26"/>
          <w:rtl w:val="0"/>
          <w:lang w:val="fr-FR"/>
        </w:rPr>
        <w:t xml:space="preserve">é </w:t>
      </w:r>
      <w:r>
        <w:rPr>
          <w:rFonts w:ascii="Arial" w:hAnsi="Arial"/>
          <w:color w:val="222222"/>
          <w:sz w:val="26"/>
          <w:szCs w:val="26"/>
          <w:rtl w:val="0"/>
          <w:lang w:val="it-IT"/>
        </w:rPr>
        <w:t>non op</w:t>
      </w:r>
      <w:r>
        <w:rPr>
          <w:rFonts w:ascii="Arial" w:hAnsi="Arial" w:hint="default"/>
          <w:color w:val="222222"/>
          <w:sz w:val="26"/>
          <w:szCs w:val="26"/>
          <w:rtl w:val="0"/>
          <w:lang w:val="fr-FR"/>
        </w:rPr>
        <w:t>é</w:t>
      </w:r>
      <w:r>
        <w:rPr>
          <w:rFonts w:ascii="Arial" w:hAnsi="Arial"/>
          <w:color w:val="222222"/>
          <w:sz w:val="26"/>
          <w:szCs w:val="26"/>
          <w:rtl w:val="0"/>
          <w:lang w:val="fr-FR"/>
        </w:rPr>
        <w:t>rable</w:t>
      </w:r>
    </w:p>
    <w:p>
      <w:pPr>
        <w:pStyle w:val="Par défaut"/>
        <w:bidi w:val="0"/>
        <w:ind w:left="0" w:right="0" w:firstLine="0"/>
        <w:jc w:val="left"/>
        <w:rPr>
          <w:rFonts w:ascii="Arial" w:cs="Arial" w:hAnsi="Arial" w:eastAsia="Arial"/>
          <w:color w:val="222222"/>
          <w:sz w:val="26"/>
          <w:szCs w:val="26"/>
          <w:rtl w:val="0"/>
        </w:rPr>
      </w:pPr>
      <w:r>
        <w:rPr>
          <w:rFonts w:ascii="Arial" w:hAnsi="Arial" w:hint="default"/>
          <w:b w:val="1"/>
          <w:bCs w:val="1"/>
          <w:color w:val="222222"/>
          <w:sz w:val="26"/>
          <w:szCs w:val="26"/>
          <w:rtl w:val="0"/>
        </w:rPr>
        <w:t>        </w:t>
      </w:r>
      <w:r>
        <w:rPr>
          <w:rFonts w:ascii="Arial" w:hAnsi="Arial"/>
          <w:color w:val="222222"/>
          <w:sz w:val="26"/>
          <w:szCs w:val="26"/>
          <w:rtl w:val="0"/>
          <w:lang w:val="en-US"/>
        </w:rPr>
        <w:t>- Regeneron Phase II trial on REGN2810 (anti-pd1) in CSCC</w:t>
      </w:r>
    </w:p>
    <w:p>
      <w:pPr>
        <w:pStyle w:val="Par défaut"/>
        <w:bidi w:val="0"/>
        <w:ind w:left="0" w:right="0" w:firstLine="0"/>
        <w:jc w:val="left"/>
        <w:rPr>
          <w:rFonts w:ascii="Arial" w:cs="Arial" w:hAnsi="Arial" w:eastAsia="Arial"/>
          <w:color w:val="222222"/>
          <w:sz w:val="26"/>
          <w:szCs w:val="26"/>
          <w:rtl w:val="0"/>
        </w:rPr>
      </w:pPr>
    </w:p>
    <w:p>
      <w:pPr>
        <w:pStyle w:val="Par défaut"/>
        <w:bidi w:val="0"/>
        <w:ind w:left="0" w:right="0" w:firstLine="0"/>
        <w:jc w:val="left"/>
        <w:rPr>
          <w:rFonts w:ascii="Arial" w:cs="Arial" w:hAnsi="Arial" w:eastAsia="Arial"/>
          <w:b w:val="0"/>
          <w:bCs w:val="0"/>
          <w:color w:val="222222"/>
          <w:sz w:val="26"/>
          <w:szCs w:val="26"/>
          <w:rtl w:val="0"/>
        </w:rPr>
      </w:pPr>
      <w:r>
        <w:rPr>
          <w:rFonts w:ascii="Arial" w:cs="Arial" w:hAnsi="Arial" w:eastAsia="Arial"/>
          <w:b w:val="1"/>
          <w:bCs w:val="1"/>
          <w:color w:val="222222"/>
          <w:sz w:val="26"/>
          <w:szCs w:val="26"/>
          <w:rtl w:val="0"/>
          <w:lang w:val="en-US"/>
        </w:rPr>
        <w:tab/>
        <w:t>Cancers rares</w:t>
      </w:r>
    </w:p>
    <w:p>
      <w:pPr>
        <w:pStyle w:val="Par défaut"/>
        <w:bidi w:val="0"/>
        <w:ind w:left="0" w:right="0" w:firstLine="0"/>
        <w:jc w:val="left"/>
        <w:rPr>
          <w:rFonts w:ascii="Arial" w:cs="Arial" w:hAnsi="Arial" w:eastAsia="Arial"/>
          <w:color w:val="222222"/>
          <w:sz w:val="26"/>
          <w:szCs w:val="26"/>
          <w:rtl w:val="0"/>
        </w:rPr>
      </w:pPr>
      <w:r>
        <w:rPr>
          <w:rFonts w:ascii="Arial" w:hAnsi="Arial" w:hint="default"/>
          <w:color w:val="222222"/>
          <w:sz w:val="26"/>
          <w:szCs w:val="26"/>
          <w:rtl w:val="0"/>
        </w:rPr>
        <w:t xml:space="preserve">       </w:t>
      </w:r>
      <w:r>
        <w:rPr>
          <w:rFonts w:ascii="Arial" w:hAnsi="Arial"/>
          <w:color w:val="222222"/>
          <w:sz w:val="26"/>
          <w:szCs w:val="26"/>
          <w:rtl w:val="0"/>
          <w:lang w:val="ru-RU"/>
        </w:rPr>
        <w:t>- AcS</w:t>
      </w:r>
      <w:r>
        <w:rPr>
          <w:rFonts w:ascii="Arial" w:hAnsi="Arial" w:hint="default"/>
          <w:color w:val="222222"/>
          <w:sz w:val="26"/>
          <w:szCs w:val="26"/>
          <w:rtl w:val="0"/>
          <w:lang w:val="fr-FR"/>
        </w:rPr>
        <w:t xml:space="preserve">é </w:t>
      </w:r>
      <w:r>
        <w:rPr>
          <w:rFonts w:ascii="Arial" w:hAnsi="Arial"/>
          <w:color w:val="222222"/>
          <w:sz w:val="26"/>
          <w:szCs w:val="26"/>
          <w:rtl w:val="0"/>
          <w:lang w:val="fr-FR"/>
        </w:rPr>
        <w:t>nivolumab: traitement par nivolumab de patients atteints d'un cancer rare</w:t>
      </w:r>
    </w:p>
    <w:p>
      <w:pPr>
        <w:pStyle w:val="Par défaut"/>
        <w:bidi w:val="0"/>
        <w:ind w:left="0" w:right="0" w:firstLine="0"/>
        <w:jc w:val="left"/>
        <w:rPr>
          <w:rFonts w:ascii="Arial" w:cs="Arial" w:hAnsi="Arial" w:eastAsia="Arial"/>
          <w:color w:val="222222"/>
          <w:sz w:val="26"/>
          <w:szCs w:val="26"/>
          <w:rtl w:val="0"/>
        </w:rPr>
      </w:pPr>
      <w:r>
        <w:rPr>
          <w:rFonts w:ascii="Arial" w:hAnsi="Arial"/>
          <w:color w:val="222222"/>
          <w:sz w:val="26"/>
          <w:szCs w:val="26"/>
          <w:rtl w:val="0"/>
        </w:rPr>
        <w:t>.</w:t>
      </w:r>
    </w:p>
    <w:p>
      <w:pPr>
        <w:pStyle w:val="Par défaut"/>
        <w:bidi w:val="0"/>
        <w:ind w:left="0" w:right="0" w:firstLine="0"/>
        <w:jc w:val="left"/>
        <w:rPr>
          <w:rFonts w:ascii="Arial" w:cs="Arial" w:hAnsi="Arial" w:eastAsia="Arial"/>
          <w:b w:val="0"/>
          <w:bCs w:val="0"/>
          <w:color w:val="222222"/>
          <w:sz w:val="26"/>
          <w:szCs w:val="26"/>
          <w:rtl w:val="0"/>
        </w:rPr>
      </w:pPr>
      <w:r>
        <w:rPr>
          <w:rFonts w:ascii="Arial" w:cs="Arial" w:hAnsi="Arial" w:eastAsia="Arial"/>
          <w:b w:val="1"/>
          <w:bCs w:val="1"/>
          <w:color w:val="222222"/>
          <w:sz w:val="26"/>
          <w:szCs w:val="26"/>
          <w:rtl w:val="0"/>
          <w:lang w:val="it-IT"/>
        </w:rPr>
        <w:tab/>
        <w:t>en attente</w:t>
      </w:r>
    </w:p>
    <w:p>
      <w:pPr>
        <w:pStyle w:val="Par défaut"/>
        <w:bidi w:val="0"/>
        <w:ind w:left="0" w:right="0" w:firstLine="0"/>
        <w:jc w:val="left"/>
        <w:rPr>
          <w:rFonts w:ascii="Arial" w:cs="Arial" w:hAnsi="Arial" w:eastAsia="Arial"/>
          <w:b w:val="0"/>
          <w:bCs w:val="0"/>
          <w:color w:val="222222"/>
          <w:sz w:val="26"/>
          <w:szCs w:val="26"/>
          <w:rtl w:val="0"/>
        </w:rPr>
      </w:pPr>
      <w:r>
        <w:rPr>
          <w:rFonts w:ascii="Arial" w:cs="Arial" w:hAnsi="Arial" w:eastAsia="Arial"/>
          <w:b w:val="1"/>
          <w:bCs w:val="1"/>
          <w:color w:val="222222"/>
          <w:sz w:val="26"/>
          <w:szCs w:val="26"/>
          <w:rtl w:val="0"/>
        </w:rPr>
        <w:tab/>
        <w:t>Kaposi</w:t>
      </w:r>
    </w:p>
    <w:p>
      <w:pPr>
        <w:pStyle w:val="Par défaut"/>
        <w:bidi w:val="0"/>
        <w:ind w:left="0" w:right="0" w:firstLine="0"/>
        <w:jc w:val="left"/>
        <w:rPr>
          <w:rtl w:val="0"/>
        </w:rPr>
      </w:pPr>
      <w:r>
        <w:rPr>
          <w:rFonts w:ascii="Arial" w:hAnsi="Arial"/>
          <w:color w:val="222222"/>
          <w:sz w:val="26"/>
          <w:szCs w:val="26"/>
          <w:rtl w:val="0"/>
        </w:rPr>
        <w:t xml:space="preserve">- KAPKEY, </w:t>
      </w:r>
      <w:r>
        <w:rPr>
          <w:rFonts w:ascii="Arial" w:hAnsi="Arial" w:hint="default"/>
          <w:color w:val="222222"/>
          <w:sz w:val="26"/>
          <w:szCs w:val="26"/>
          <w:rtl w:val="0"/>
          <w:lang w:val="fr-FR"/>
        </w:rPr>
        <w:t>«</w:t>
      </w:r>
      <w:r>
        <w:rPr>
          <w:rFonts w:ascii="Arial" w:hAnsi="Arial"/>
          <w:color w:val="222222"/>
          <w:sz w:val="26"/>
          <w:szCs w:val="26"/>
          <w:rtl w:val="0"/>
          <w:lang w:val="fr-FR"/>
        </w:rPr>
        <w:t xml:space="preserve">Essai de phase II multicentrique </w:t>
      </w:r>
      <w:r>
        <w:rPr>
          <w:rFonts w:ascii="Arial" w:hAnsi="Arial" w:hint="default"/>
          <w:color w:val="222222"/>
          <w:sz w:val="26"/>
          <w:szCs w:val="26"/>
          <w:rtl w:val="0"/>
          <w:lang w:val="fr-FR"/>
        </w:rPr>
        <w:t>é</w:t>
      </w:r>
      <w:r>
        <w:rPr>
          <w:rFonts w:ascii="Arial" w:hAnsi="Arial"/>
          <w:color w:val="222222"/>
          <w:sz w:val="26"/>
          <w:szCs w:val="26"/>
          <w:rtl w:val="0"/>
          <w:lang w:val="fr-FR"/>
        </w:rPr>
        <w:t>valuant le pembrolizumab dans le traitement de la maladie de Kaposi classique ou end</w:t>
      </w:r>
      <w:r>
        <w:rPr>
          <w:rFonts w:ascii="Arial" w:hAnsi="Arial" w:hint="default"/>
          <w:color w:val="222222"/>
          <w:sz w:val="26"/>
          <w:szCs w:val="26"/>
          <w:rtl w:val="0"/>
          <w:lang w:val="fr-FR"/>
        </w:rPr>
        <w:t>é</w:t>
      </w:r>
      <w:r>
        <w:rPr>
          <w:rFonts w:ascii="Arial" w:hAnsi="Arial"/>
          <w:color w:val="222222"/>
          <w:sz w:val="26"/>
          <w:szCs w:val="26"/>
          <w:rtl w:val="0"/>
          <w:lang w:val="fr-FR"/>
        </w:rPr>
        <w:t>mique</w:t>
      </w:r>
      <w:r>
        <w:rPr>
          <w:rFonts w:ascii="Arial" w:hAnsi="Arial" w:hint="default"/>
          <w:color w:val="222222"/>
          <w:sz w:val="26"/>
          <w:szCs w:val="26"/>
          <w:rtl w:val="0"/>
          <w:lang w:val="it-IT"/>
        </w:rPr>
        <w: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Par défaut">
    <w:name w:val="Par défaut"/>
    <w:next w:val="Par défau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